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spacing w:before="1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37A1" w:rsidRDefault="006737A1" w:rsidP="006737A1">
      <w:pPr>
        <w:spacing w:line="300" w:lineRule="auto"/>
        <w:ind w:left="1" w:right="6314"/>
        <w:rPr>
          <w:b/>
          <w:bCs/>
          <w:color w:val="000080"/>
          <w:sz w:val="24"/>
          <w:szCs w:val="24"/>
        </w:rPr>
      </w:pPr>
      <w:r>
        <w:rPr>
          <w:noProof/>
        </w:rPr>
        <w:drawing>
          <wp:inline distT="0" distB="0" distL="0" distR="0">
            <wp:extent cx="5599430" cy="590550"/>
            <wp:effectExtent l="0" t="0" r="0" b="0"/>
            <wp:docPr id="11" name="Imagem 11" descr="C:\Users\ludimila.rodrigues\AppData\Local\Microsoft\Windows\INetCache\Content.Word\Logo azu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udimila.rodrigues\AppData\Local\Microsoft\Windows\INetCache\Content.Word\Logo azu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71" b="33239"/>
                    <a:stretch/>
                  </pic:blipFill>
                  <pic:spPr bwMode="auto">
                    <a:xfrm>
                      <a:off x="0" y="0"/>
                      <a:ext cx="559943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color w:val="000080"/>
          <w:sz w:val="24"/>
          <w:szCs w:val="24"/>
        </w:rPr>
        <w:t xml:space="preserve"> </w:t>
      </w:r>
    </w:p>
    <w:p w:rsidR="006737A1" w:rsidRDefault="006737A1" w:rsidP="006737A1">
      <w:pPr>
        <w:spacing w:line="300" w:lineRule="auto"/>
        <w:ind w:left="1" w:right="6314"/>
        <w:rPr>
          <w:b/>
          <w:bCs/>
          <w:color w:val="000080"/>
          <w:sz w:val="24"/>
          <w:szCs w:val="24"/>
        </w:rPr>
      </w:pPr>
    </w:p>
    <w:p w:rsidR="00BB2100" w:rsidRDefault="006737A1" w:rsidP="006737A1">
      <w:pPr>
        <w:spacing w:line="300" w:lineRule="auto"/>
        <w:ind w:left="1" w:right="6314"/>
        <w:rPr>
          <w:b/>
          <w:bCs/>
          <w:sz w:val="24"/>
          <w:szCs w:val="24"/>
        </w:rPr>
      </w:pPr>
      <w:r>
        <w:rPr>
          <w:b/>
          <w:bCs/>
          <w:color w:val="000080"/>
          <w:sz w:val="24"/>
          <w:szCs w:val="24"/>
        </w:rPr>
        <w:t>REAJUSTES SALARIAIS (</w:t>
      </w:r>
      <w:r w:rsidR="00C44087">
        <w:rPr>
          <w:b/>
          <w:bCs/>
          <w:color w:val="000080"/>
          <w:sz w:val="24"/>
          <w:szCs w:val="24"/>
        </w:rPr>
        <w:t>GRTS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color w:val="000080"/>
          <w:sz w:val="24"/>
          <w:szCs w:val="24"/>
        </w:rPr>
        <w:t xml:space="preserve">DIGITAL) e </w:t>
      </w:r>
      <w:r w:rsidR="00C44087">
        <w:rPr>
          <w:b/>
          <w:bCs/>
          <w:color w:val="000080"/>
          <w:sz w:val="24"/>
          <w:szCs w:val="24"/>
        </w:rPr>
        <w:t>EMPREGO (CAGED)</w:t>
      </w:r>
      <w:bookmarkStart w:id="0" w:name="_GoBack"/>
      <w:bookmarkEnd w:id="0"/>
    </w:p>
    <w:p w:rsidR="00BB2100" w:rsidRDefault="00C44087" w:rsidP="006737A1">
      <w:pPr>
        <w:ind w:right="6314"/>
        <w:rPr>
          <w:b/>
          <w:bCs/>
          <w:sz w:val="24"/>
          <w:szCs w:val="24"/>
        </w:rPr>
      </w:pPr>
      <w:r>
        <w:rPr>
          <w:b/>
          <w:bCs/>
          <w:color w:val="000080"/>
          <w:sz w:val="24"/>
          <w:szCs w:val="24"/>
        </w:rPr>
        <w:t>JULHO DE 2026</w:t>
      </w: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1"/>
          <w:szCs w:val="21"/>
        </w:rPr>
      </w:pP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spacing w:before="116"/>
        <w:rPr>
          <w:b/>
          <w:bCs/>
          <w:color w:val="000000"/>
          <w:sz w:val="21"/>
          <w:szCs w:val="21"/>
        </w:rPr>
      </w:pPr>
    </w:p>
    <w:p w:rsidR="00BB2100" w:rsidRDefault="00C44087">
      <w:pPr>
        <w:ind w:left="59" w:right="762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Referência para as datas-bases de junho, </w:t>
      </w:r>
      <w:r>
        <w:rPr>
          <w:b/>
          <w:bCs/>
          <w:sz w:val="21"/>
          <w:szCs w:val="21"/>
        </w:rPr>
        <w:t>o INPC acumulado em maio ficou em 4,42%</w:t>
      </w:r>
      <w:r>
        <w:rPr>
          <w:sz w:val="21"/>
          <w:szCs w:val="21"/>
        </w:rPr>
        <w:t>, segundo o IBGE.</w:t>
      </w:r>
    </w:p>
    <w:p w:rsidR="00BB2100" w:rsidRDefault="00C44087">
      <w:pPr>
        <w:pBdr>
          <w:top w:val="nil"/>
          <w:left w:val="nil"/>
          <w:bottom w:val="nil"/>
          <w:right w:val="nil"/>
          <w:between w:val="nil"/>
        </w:pBdr>
        <w:spacing w:before="237"/>
        <w:ind w:left="59" w:right="755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Os levantamentos realizados pela GRTS Digital apontaram uma diferença de 1,04 </w:t>
      </w:r>
      <w:proofErr w:type="spellStart"/>
      <w:r>
        <w:rPr>
          <w:color w:val="000000"/>
          <w:sz w:val="21"/>
          <w:szCs w:val="21"/>
        </w:rPr>
        <w:t>p.p</w:t>
      </w:r>
      <w:proofErr w:type="spellEnd"/>
      <w:r>
        <w:rPr>
          <w:color w:val="000000"/>
          <w:sz w:val="21"/>
          <w:szCs w:val="21"/>
        </w:rPr>
        <w:t xml:space="preserve">. entre o INPC e a mediana das </w:t>
      </w:r>
      <w:r>
        <w:rPr>
          <w:b/>
          <w:bCs/>
          <w:color w:val="000000"/>
          <w:sz w:val="21"/>
          <w:szCs w:val="21"/>
        </w:rPr>
        <w:t xml:space="preserve">Convenções </w:t>
      </w:r>
      <w:r>
        <w:rPr>
          <w:color w:val="000000"/>
          <w:sz w:val="21"/>
          <w:szCs w:val="21"/>
        </w:rPr>
        <w:t xml:space="preserve">(5,46%) e 1,58 </w:t>
      </w:r>
      <w:proofErr w:type="spellStart"/>
      <w:r>
        <w:rPr>
          <w:color w:val="000000"/>
          <w:sz w:val="21"/>
          <w:szCs w:val="21"/>
        </w:rPr>
        <w:t>p.p</w:t>
      </w:r>
      <w:proofErr w:type="spellEnd"/>
      <w:r>
        <w:rPr>
          <w:color w:val="000000"/>
          <w:sz w:val="21"/>
          <w:szCs w:val="21"/>
        </w:rPr>
        <w:t xml:space="preserve">. entre o INPC e a mediana dos </w:t>
      </w:r>
      <w:r>
        <w:rPr>
          <w:b/>
          <w:bCs/>
          <w:color w:val="000000"/>
          <w:sz w:val="21"/>
          <w:szCs w:val="21"/>
        </w:rPr>
        <w:t xml:space="preserve">Acordos </w:t>
      </w:r>
      <w:r>
        <w:rPr>
          <w:color w:val="000000"/>
          <w:sz w:val="21"/>
          <w:szCs w:val="21"/>
        </w:rPr>
        <w:t>(6%).</w:t>
      </w:r>
    </w:p>
    <w:p w:rsidR="00BB2100" w:rsidRDefault="00C44087">
      <w:pPr>
        <w:pBdr>
          <w:top w:val="nil"/>
          <w:left w:val="nil"/>
          <w:bottom w:val="nil"/>
          <w:right w:val="nil"/>
          <w:between w:val="nil"/>
        </w:pBdr>
        <w:spacing w:before="235"/>
        <w:ind w:left="59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Dos instrumentos coletivos com data-base em junho, ficaram acima da in</w:t>
      </w:r>
      <w:r>
        <w:rPr>
          <w:color w:val="000000"/>
          <w:sz w:val="21"/>
          <w:szCs w:val="21"/>
        </w:rPr>
        <w:t>flação:</w:t>
      </w:r>
    </w:p>
    <w:p w:rsidR="00BB2100" w:rsidRDefault="001E7ED1" w:rsidP="001E7ED1">
      <w:pPr>
        <w:pBdr>
          <w:top w:val="nil"/>
          <w:left w:val="nil"/>
          <w:bottom w:val="nil"/>
          <w:right w:val="nil"/>
          <w:between w:val="nil"/>
        </w:pBdr>
        <w:tabs>
          <w:tab w:val="left" w:pos="779"/>
        </w:tabs>
        <w:spacing w:before="239"/>
        <w:ind w:left="59" w:right="761"/>
        <w:jc w:val="both"/>
        <w:rPr>
          <w:color w:val="000000"/>
        </w:rPr>
      </w:pPr>
      <w:r w:rsidRPr="006737A1">
        <w:rPr>
          <w:bCs/>
          <w:color w:val="000000"/>
          <w:sz w:val="21"/>
          <w:szCs w:val="21"/>
        </w:rPr>
        <w:t>-</w:t>
      </w:r>
      <w:r>
        <w:rPr>
          <w:b/>
          <w:bCs/>
          <w:color w:val="000000"/>
          <w:sz w:val="21"/>
          <w:szCs w:val="21"/>
        </w:rPr>
        <w:t xml:space="preserve"> </w:t>
      </w:r>
      <w:proofErr w:type="gramStart"/>
      <w:r w:rsidR="00C44087">
        <w:rPr>
          <w:b/>
          <w:bCs/>
          <w:color w:val="000000"/>
          <w:sz w:val="21"/>
          <w:szCs w:val="21"/>
        </w:rPr>
        <w:t>nas</w:t>
      </w:r>
      <w:proofErr w:type="gramEnd"/>
      <w:r w:rsidR="00C44087">
        <w:rPr>
          <w:b/>
          <w:bCs/>
          <w:color w:val="000000"/>
          <w:sz w:val="21"/>
          <w:szCs w:val="21"/>
        </w:rPr>
        <w:t xml:space="preserve"> Convenções Coletivas, 93,65%; </w:t>
      </w:r>
      <w:r w:rsidR="00C44087">
        <w:rPr>
          <w:color w:val="000000"/>
          <w:sz w:val="21"/>
          <w:szCs w:val="21"/>
        </w:rPr>
        <w:t>(voltando ao patamar dos últimos meses, após resultado atípico em maio)</w:t>
      </w:r>
    </w:p>
    <w:p w:rsidR="00BB2100" w:rsidRDefault="00C44087">
      <w:pPr>
        <w:pStyle w:val="Ttulo2"/>
        <w:numPr>
          <w:ilvl w:val="0"/>
          <w:numId w:val="1"/>
        </w:numPr>
        <w:tabs>
          <w:tab w:val="left" w:pos="193"/>
        </w:tabs>
        <w:ind w:left="193" w:hanging="134"/>
      </w:pPr>
      <w:proofErr w:type="gramStart"/>
      <w:r>
        <w:t>nos</w:t>
      </w:r>
      <w:proofErr w:type="gramEnd"/>
      <w:r>
        <w:t xml:space="preserve"> Acordos Coletivos, 89,1%.</w:t>
      </w:r>
    </w:p>
    <w:p w:rsidR="00BB2100" w:rsidRDefault="00C44087">
      <w:pPr>
        <w:spacing w:before="238"/>
        <w:ind w:left="59" w:right="758"/>
        <w:jc w:val="both"/>
        <w:rPr>
          <w:b/>
          <w:bCs/>
          <w:sz w:val="21"/>
          <w:szCs w:val="21"/>
        </w:rPr>
      </w:pPr>
      <w:r>
        <w:rPr>
          <w:sz w:val="21"/>
          <w:szCs w:val="21"/>
        </w:rPr>
        <w:t xml:space="preserve">A geração de empregos do mês de junho registrou </w:t>
      </w:r>
      <w:r>
        <w:rPr>
          <w:b/>
          <w:bCs/>
          <w:sz w:val="21"/>
          <w:szCs w:val="21"/>
        </w:rPr>
        <w:t>a criação de 145 mil postos de trabalho formal.</w:t>
      </w:r>
    </w:p>
    <w:p w:rsidR="00BB2100" w:rsidRDefault="00C44087">
      <w:pPr>
        <w:spacing w:before="237"/>
        <w:ind w:left="59" w:right="7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A taxa de desemprego recuou para </w:t>
      </w:r>
      <w:r>
        <w:rPr>
          <w:b/>
          <w:bCs/>
          <w:sz w:val="21"/>
          <w:szCs w:val="21"/>
        </w:rPr>
        <w:t>5,4% no trimestre encerrado em junho</w:t>
      </w:r>
      <w:r>
        <w:rPr>
          <w:sz w:val="21"/>
          <w:szCs w:val="21"/>
        </w:rPr>
        <w:t>, abaixo do trimestre anterior (</w:t>
      </w:r>
      <w:proofErr w:type="spellStart"/>
      <w:r>
        <w:rPr>
          <w:sz w:val="21"/>
          <w:szCs w:val="21"/>
        </w:rPr>
        <w:t>jan</w:t>
      </w:r>
      <w:proofErr w:type="spellEnd"/>
      <w:r>
        <w:rPr>
          <w:sz w:val="21"/>
          <w:szCs w:val="21"/>
        </w:rPr>
        <w:t>/26-mar/26).</w:t>
      </w:r>
    </w:p>
    <w:p w:rsidR="00BB2100" w:rsidRDefault="00C44087">
      <w:pPr>
        <w:pBdr>
          <w:top w:val="nil"/>
          <w:left w:val="nil"/>
          <w:bottom w:val="nil"/>
          <w:right w:val="nil"/>
          <w:between w:val="nil"/>
        </w:pBdr>
        <w:spacing w:before="237"/>
        <w:ind w:left="59" w:right="75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Assim, quatro fatores seguem pressionando as negociações: (a) política de valorização do salário mínimo; (b) inflação estável, apesar de se</w:t>
      </w:r>
      <w:r>
        <w:rPr>
          <w:color w:val="000000"/>
          <w:sz w:val="21"/>
          <w:szCs w:val="21"/>
        </w:rPr>
        <w:t>guir acima da meta; (c) geração de emprego constante, corroborada pela alta do PIB; e (d) desemprego em níveis consideravelmente baixos.</w:t>
      </w: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1"/>
          <w:szCs w:val="21"/>
        </w:rPr>
      </w:pP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1"/>
          <w:szCs w:val="21"/>
        </w:rPr>
      </w:pP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spacing w:before="222"/>
        <w:rPr>
          <w:color w:val="000000"/>
          <w:sz w:val="21"/>
          <w:szCs w:val="21"/>
        </w:rPr>
      </w:pPr>
    </w:p>
    <w:p w:rsidR="00BB2100" w:rsidRDefault="00C44087">
      <w:pPr>
        <w:pStyle w:val="Ttulo1"/>
        <w:ind w:firstLine="59"/>
      </w:pPr>
      <w:r>
        <w:rPr>
          <w:color w:val="000080"/>
        </w:rPr>
        <w:t xml:space="preserve">NEGOCIAÇÕES EM </w:t>
      </w:r>
      <w:proofErr w:type="gramStart"/>
      <w:r>
        <w:rPr>
          <w:color w:val="000080"/>
        </w:rPr>
        <w:t>JUNHO</w:t>
      </w:r>
      <w:proofErr w:type="gramEnd"/>
      <w:r>
        <w:rPr>
          <w:color w:val="000080"/>
        </w:rPr>
        <w:t xml:space="preserve"> DE 2026</w:t>
      </w:r>
    </w:p>
    <w:p w:rsidR="00BB2100" w:rsidRDefault="00C44087">
      <w:pPr>
        <w:spacing w:before="272"/>
        <w:ind w:left="5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Convenções Coletivas</w:t>
      </w:r>
    </w:p>
    <w:p w:rsidR="00BB2100" w:rsidRDefault="00C44087">
      <w:pPr>
        <w:spacing w:before="248"/>
        <w:ind w:left="59" w:right="755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Os dados da GRTS Digital mostram que </w:t>
      </w:r>
      <w:r>
        <w:rPr>
          <w:b/>
          <w:bCs/>
          <w:sz w:val="21"/>
          <w:szCs w:val="21"/>
        </w:rPr>
        <w:t>as convenções coletivas com data-base em junho de 2026, já fechadas até 27 de julho, registraram mediana de 5,46%</w:t>
      </w:r>
      <w:r>
        <w:rPr>
          <w:sz w:val="21"/>
          <w:szCs w:val="21"/>
        </w:rPr>
        <w:t>, indicando uma alta no ano, em linha com o aumento da inflação.</w:t>
      </w:r>
    </w:p>
    <w:p w:rsidR="00BB2100" w:rsidRDefault="00C44087">
      <w:pPr>
        <w:pBdr>
          <w:top w:val="nil"/>
          <w:left w:val="nil"/>
          <w:bottom w:val="nil"/>
          <w:right w:val="nil"/>
          <w:between w:val="nil"/>
        </w:pBdr>
        <w:spacing w:before="235"/>
        <w:ind w:left="59" w:right="762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O </w:t>
      </w:r>
      <w:r>
        <w:rPr>
          <w:b/>
          <w:bCs/>
          <w:color w:val="000000"/>
          <w:sz w:val="21"/>
          <w:szCs w:val="21"/>
        </w:rPr>
        <w:t xml:space="preserve">ganho real de 1,04 </w:t>
      </w:r>
      <w:proofErr w:type="spellStart"/>
      <w:r>
        <w:rPr>
          <w:b/>
          <w:bCs/>
          <w:color w:val="000000"/>
          <w:sz w:val="21"/>
          <w:szCs w:val="21"/>
        </w:rPr>
        <w:t>p.p</w:t>
      </w:r>
      <w:proofErr w:type="spellEnd"/>
      <w:r>
        <w:rPr>
          <w:b/>
          <w:bCs/>
          <w:color w:val="000000"/>
          <w:sz w:val="21"/>
          <w:szCs w:val="21"/>
        </w:rPr>
        <w:t xml:space="preserve">. </w:t>
      </w:r>
      <w:r>
        <w:rPr>
          <w:color w:val="000000"/>
          <w:sz w:val="21"/>
          <w:szCs w:val="21"/>
        </w:rPr>
        <w:t xml:space="preserve">está em linha com o que vinha ocorrendo nos últimos </w:t>
      </w:r>
      <w:r>
        <w:rPr>
          <w:color w:val="000000"/>
          <w:sz w:val="21"/>
          <w:szCs w:val="21"/>
        </w:rPr>
        <w:t xml:space="preserve">meses. A </w:t>
      </w:r>
      <w:proofErr w:type="gramStart"/>
      <w:r>
        <w:rPr>
          <w:b/>
          <w:bCs/>
          <w:color w:val="000000"/>
          <w:sz w:val="21"/>
          <w:szCs w:val="21"/>
        </w:rPr>
        <w:t>tendência</w:t>
      </w:r>
      <w:proofErr w:type="gramEnd"/>
      <w:r>
        <w:rPr>
          <w:b/>
          <w:bCs/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é que, com o registro de novas convenções, esse número sofra algum ajuste.</w:t>
      </w:r>
    </w:p>
    <w:p w:rsidR="00BB2100" w:rsidRDefault="00C44087">
      <w:pPr>
        <w:pBdr>
          <w:top w:val="nil"/>
          <w:left w:val="nil"/>
          <w:bottom w:val="nil"/>
          <w:right w:val="nil"/>
          <w:between w:val="nil"/>
        </w:pBdr>
        <w:spacing w:before="236"/>
        <w:ind w:left="59" w:right="760"/>
        <w:jc w:val="both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No mês de maio</w:t>
      </w:r>
      <w:r>
        <w:rPr>
          <w:color w:val="000000"/>
          <w:sz w:val="21"/>
          <w:szCs w:val="21"/>
        </w:rPr>
        <w:t>, 93,65% das Convenções Coletivas ficaram acima do INPC, em linha do que vinha ocorrendo nos últimos meses.</w:t>
      </w:r>
    </w:p>
    <w:p w:rsidR="00BB2100" w:rsidRDefault="00C44087">
      <w:pPr>
        <w:pBdr>
          <w:top w:val="nil"/>
          <w:left w:val="nil"/>
          <w:bottom w:val="nil"/>
          <w:right w:val="nil"/>
          <w:between w:val="nil"/>
        </w:pBdr>
        <w:spacing w:before="237"/>
        <w:ind w:left="59" w:right="754"/>
        <w:jc w:val="both"/>
        <w:rPr>
          <w:color w:val="000000"/>
          <w:sz w:val="21"/>
          <w:szCs w:val="21"/>
        </w:rPr>
        <w:sectPr w:rsidR="00BB2100">
          <w:headerReference w:type="default" r:id="rId9"/>
          <w:footerReference w:type="default" r:id="rId10"/>
          <w:pgSz w:w="11920" w:h="16860"/>
          <w:pgMar w:top="480" w:right="992" w:bottom="440" w:left="1700" w:header="298" w:footer="248" w:gutter="0"/>
          <w:pgNumType w:start="1"/>
          <w:cols w:space="720"/>
        </w:sectPr>
      </w:pPr>
      <w:r>
        <w:rPr>
          <w:color w:val="000000"/>
          <w:sz w:val="21"/>
          <w:szCs w:val="21"/>
        </w:rPr>
        <w:t>Com a celebração de novos instrumentos coletivos, a mediana dos reajustes da data-base de alguns meses anteriores tiveram recuo, a exemplo de março, que saiu de 5% para 4.5%.</w:t>
      </w: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spacing w:before="137"/>
        <w:rPr>
          <w:color w:val="000000"/>
          <w:sz w:val="20"/>
          <w:szCs w:val="20"/>
        </w:rPr>
      </w:pPr>
    </w:p>
    <w:p w:rsidR="00BB2100" w:rsidRDefault="00C44087">
      <w:pPr>
        <w:ind w:left="48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4885452" cy="2666523"/>
            <wp:effectExtent l="0" t="0" r="0" b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5452" cy="26665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spacing w:before="29"/>
        <w:rPr>
          <w:color w:val="000000"/>
          <w:sz w:val="24"/>
          <w:szCs w:val="24"/>
        </w:rPr>
      </w:pPr>
    </w:p>
    <w:p w:rsidR="00BB2100" w:rsidRDefault="00C44087">
      <w:pPr>
        <w:ind w:left="5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Acordos Coletivos</w:t>
      </w:r>
    </w:p>
    <w:p w:rsidR="00BB2100" w:rsidRDefault="00C44087">
      <w:pPr>
        <w:spacing w:before="247"/>
        <w:ind w:left="59" w:right="75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Os dados da GRTS Digital mostram que </w:t>
      </w:r>
      <w:r>
        <w:rPr>
          <w:b/>
          <w:bCs/>
          <w:sz w:val="21"/>
          <w:szCs w:val="21"/>
        </w:rPr>
        <w:t xml:space="preserve">os acordos coletivos já fechados </w:t>
      </w:r>
      <w:proofErr w:type="gramStart"/>
      <w:r>
        <w:rPr>
          <w:b/>
          <w:bCs/>
          <w:sz w:val="21"/>
          <w:szCs w:val="21"/>
        </w:rPr>
        <w:t>até 27 de junho com data-base no mês de maio de 2026 registraram</w:t>
      </w:r>
      <w:proofErr w:type="gramEnd"/>
      <w:r>
        <w:rPr>
          <w:b/>
          <w:bCs/>
          <w:sz w:val="21"/>
          <w:szCs w:val="21"/>
        </w:rPr>
        <w:t xml:space="preserve"> mediana de 6%. </w:t>
      </w:r>
      <w:r>
        <w:rPr>
          <w:sz w:val="21"/>
          <w:szCs w:val="21"/>
        </w:rPr>
        <w:t xml:space="preserve">Isso representa um ganho real de 1,58 </w:t>
      </w:r>
      <w:proofErr w:type="spellStart"/>
      <w:r>
        <w:rPr>
          <w:sz w:val="21"/>
          <w:szCs w:val="21"/>
        </w:rPr>
        <w:t>p.p</w:t>
      </w:r>
      <w:proofErr w:type="spellEnd"/>
      <w:r>
        <w:rPr>
          <w:sz w:val="21"/>
          <w:szCs w:val="21"/>
        </w:rPr>
        <w:t>. acima da inflação acumulada em 12 meses.</w:t>
      </w:r>
    </w:p>
    <w:p w:rsidR="00BB2100" w:rsidRDefault="00C44087">
      <w:pPr>
        <w:pBdr>
          <w:top w:val="nil"/>
          <w:left w:val="nil"/>
          <w:bottom w:val="nil"/>
          <w:right w:val="nil"/>
          <w:between w:val="nil"/>
        </w:pBdr>
        <w:spacing w:before="236"/>
        <w:ind w:left="59" w:right="750"/>
        <w:jc w:val="both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No mês de junho</w:t>
      </w:r>
      <w:r>
        <w:rPr>
          <w:color w:val="000000"/>
          <w:sz w:val="21"/>
          <w:szCs w:val="21"/>
        </w:rPr>
        <w:t xml:space="preserve">, 89,1% dos acordos coletivos ficaram acima </w:t>
      </w:r>
      <w:r>
        <w:rPr>
          <w:color w:val="000000"/>
          <w:sz w:val="21"/>
          <w:szCs w:val="21"/>
        </w:rPr>
        <w:t>do INPC, no padrão do que vinha ocorrendo nos últimos meses.</w:t>
      </w:r>
    </w:p>
    <w:p w:rsidR="00BB2100" w:rsidRDefault="00C44087">
      <w:pPr>
        <w:spacing w:before="237"/>
        <w:ind w:left="59" w:right="75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Com a celebração de novos instrumentos coletivos, a mediana dos </w:t>
      </w:r>
      <w:r>
        <w:rPr>
          <w:b/>
          <w:bCs/>
          <w:sz w:val="21"/>
          <w:szCs w:val="21"/>
        </w:rPr>
        <w:t xml:space="preserve">reajustes da data-base de maio </w:t>
      </w:r>
      <w:proofErr w:type="spellStart"/>
      <w:r>
        <w:rPr>
          <w:b/>
          <w:bCs/>
          <w:sz w:val="21"/>
          <w:szCs w:val="21"/>
        </w:rPr>
        <w:t>recuáram</w:t>
      </w:r>
      <w:proofErr w:type="spellEnd"/>
      <w:r>
        <w:rPr>
          <w:b/>
          <w:bCs/>
          <w:sz w:val="21"/>
          <w:szCs w:val="21"/>
        </w:rPr>
        <w:t xml:space="preserve"> de 6% para 5,15%</w:t>
      </w:r>
      <w:r>
        <w:rPr>
          <w:sz w:val="21"/>
          <w:szCs w:val="21"/>
        </w:rPr>
        <w:t xml:space="preserve">, enquanto os </w:t>
      </w:r>
      <w:r>
        <w:rPr>
          <w:b/>
          <w:bCs/>
          <w:sz w:val="21"/>
          <w:szCs w:val="21"/>
        </w:rPr>
        <w:t>reajustes de abril caíram de 5,5% para 5,26%</w:t>
      </w:r>
      <w:r>
        <w:rPr>
          <w:sz w:val="21"/>
          <w:szCs w:val="21"/>
        </w:rPr>
        <w:t>.</w:t>
      </w: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2100" w:rsidRDefault="00C44087">
      <w:pPr>
        <w:pBdr>
          <w:top w:val="nil"/>
          <w:left w:val="nil"/>
          <w:bottom w:val="nil"/>
          <w:right w:val="nil"/>
          <w:between w:val="nil"/>
        </w:pBdr>
        <w:spacing w:before="91"/>
        <w:rPr>
          <w:color w:val="000000"/>
          <w:sz w:val="20"/>
          <w:szCs w:val="20"/>
        </w:rPr>
      </w:pPr>
      <w:r>
        <w:rPr>
          <w:noProof/>
        </w:rPr>
        <w:drawing>
          <wp:anchor distT="0" distB="0" distL="0" distR="0" simplePos="0" relativeHeight="251659264" behindDoc="0" locked="0" layoutInCell="1" hidden="0" allowOverlap="1">
            <wp:simplePos x="0" y="0"/>
            <wp:positionH relativeFrom="column">
              <wp:posOffset>285749</wp:posOffset>
            </wp:positionH>
            <wp:positionV relativeFrom="paragraph">
              <wp:posOffset>219333</wp:posOffset>
            </wp:positionV>
            <wp:extent cx="4875930" cy="2666523"/>
            <wp:effectExtent l="0" t="0" r="0" b="0"/>
            <wp:wrapTopAndBottom distT="0" dist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5930" cy="26665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1"/>
          <w:szCs w:val="21"/>
        </w:rPr>
      </w:pP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1"/>
          <w:szCs w:val="21"/>
        </w:rPr>
      </w:pP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1"/>
          <w:szCs w:val="21"/>
        </w:rPr>
      </w:pP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color w:val="000000"/>
          <w:sz w:val="21"/>
          <w:szCs w:val="21"/>
        </w:rPr>
      </w:pPr>
    </w:p>
    <w:p w:rsidR="00BB2100" w:rsidRDefault="00C44087">
      <w:pPr>
        <w:pStyle w:val="Ttulo1"/>
        <w:ind w:firstLine="59"/>
        <w:jc w:val="left"/>
      </w:pPr>
      <w:r>
        <w:rPr>
          <w:color w:val="000080"/>
        </w:rPr>
        <w:t>INFLAÇÃO</w:t>
      </w:r>
    </w:p>
    <w:p w:rsidR="00BB2100" w:rsidRDefault="00C44087">
      <w:pPr>
        <w:pBdr>
          <w:top w:val="nil"/>
          <w:left w:val="nil"/>
          <w:bottom w:val="nil"/>
          <w:right w:val="nil"/>
          <w:between w:val="nil"/>
        </w:pBdr>
        <w:spacing w:before="256"/>
        <w:ind w:left="59" w:right="761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Para dezembro de 2026, o boletim Focus divulgado na 2ª-feira (27) apontou projeção de 5,12%, </w:t>
      </w:r>
      <w:r>
        <w:rPr>
          <w:b/>
          <w:bCs/>
          <w:color w:val="000000"/>
          <w:sz w:val="21"/>
          <w:szCs w:val="21"/>
        </w:rPr>
        <w:t xml:space="preserve">fora </w:t>
      </w:r>
      <w:r>
        <w:rPr>
          <w:color w:val="000000"/>
          <w:sz w:val="21"/>
          <w:szCs w:val="21"/>
        </w:rPr>
        <w:t>do intervalo da meta de inflação.</w:t>
      </w:r>
    </w:p>
    <w:p w:rsidR="00BB2100" w:rsidRDefault="00C44087">
      <w:pPr>
        <w:spacing w:before="237"/>
        <w:ind w:left="59"/>
        <w:jc w:val="both"/>
        <w:rPr>
          <w:sz w:val="21"/>
          <w:szCs w:val="21"/>
        </w:rPr>
        <w:sectPr w:rsidR="00BB2100">
          <w:pgSz w:w="11920" w:h="16860"/>
          <w:pgMar w:top="480" w:right="992" w:bottom="440" w:left="1700" w:header="298" w:footer="248" w:gutter="0"/>
          <w:cols w:space="720"/>
        </w:sectPr>
      </w:pPr>
      <w:r>
        <w:rPr>
          <w:color w:val="666666"/>
          <w:sz w:val="21"/>
          <w:szCs w:val="21"/>
        </w:rPr>
        <w:t xml:space="preserve">As </w:t>
      </w:r>
      <w:r>
        <w:rPr>
          <w:b/>
          <w:bCs/>
          <w:color w:val="666666"/>
          <w:sz w:val="21"/>
          <w:szCs w:val="21"/>
        </w:rPr>
        <w:t xml:space="preserve">projeções do bancos Santander e Itaú </w:t>
      </w:r>
      <w:r>
        <w:rPr>
          <w:color w:val="666666"/>
          <w:sz w:val="21"/>
          <w:szCs w:val="21"/>
        </w:rPr>
        <w:t>ainda não foram atualizadas.</w:t>
      </w: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</w:rPr>
      </w:pP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spacing w:before="257"/>
        <w:rPr>
          <w:color w:val="000000"/>
          <w:sz w:val="27"/>
          <w:szCs w:val="27"/>
        </w:rPr>
      </w:pPr>
    </w:p>
    <w:p w:rsidR="00BB2100" w:rsidRDefault="00C44087">
      <w:pPr>
        <w:pStyle w:val="Ttulo1"/>
        <w:ind w:firstLine="59"/>
      </w:pPr>
      <w:r>
        <w:rPr>
          <w:color w:val="000080"/>
        </w:rPr>
        <w:t>Brasil cria 145 mil vagas de emprego junho</w:t>
      </w:r>
    </w:p>
    <w:p w:rsidR="00BB2100" w:rsidRDefault="00C44087">
      <w:pPr>
        <w:spacing w:before="255"/>
        <w:ind w:left="59" w:right="75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Dados do </w:t>
      </w:r>
      <w:proofErr w:type="spellStart"/>
      <w:r>
        <w:rPr>
          <w:sz w:val="21"/>
          <w:szCs w:val="21"/>
        </w:rPr>
        <w:t>Caged</w:t>
      </w:r>
      <w:proofErr w:type="spellEnd"/>
      <w:r>
        <w:rPr>
          <w:sz w:val="21"/>
          <w:szCs w:val="21"/>
        </w:rPr>
        <w:t xml:space="preserve"> apontam que </w:t>
      </w:r>
      <w:r>
        <w:rPr>
          <w:b/>
          <w:bCs/>
          <w:sz w:val="21"/>
          <w:szCs w:val="21"/>
        </w:rPr>
        <w:t>o Brasil criou 145.161 vagas formais em junho de 2026</w:t>
      </w:r>
      <w:r>
        <w:rPr>
          <w:sz w:val="21"/>
          <w:szCs w:val="21"/>
        </w:rPr>
        <w:t>, queda de 10,39% em relação a junho de 2025, e pior registro para o mês desde 2020.</w:t>
      </w:r>
    </w:p>
    <w:p w:rsidR="00BB2100" w:rsidRDefault="00C44087">
      <w:pPr>
        <w:pBdr>
          <w:top w:val="nil"/>
          <w:left w:val="nil"/>
          <w:bottom w:val="nil"/>
          <w:right w:val="nil"/>
          <w:between w:val="nil"/>
        </w:pBdr>
        <w:spacing w:before="236"/>
        <w:ind w:left="59" w:right="756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Todos os grandes grupamentos de atividade criaram vagas em maio, com destaque para o setor de </w:t>
      </w:r>
      <w:r>
        <w:rPr>
          <w:b/>
          <w:bCs/>
          <w:color w:val="000000"/>
          <w:sz w:val="21"/>
          <w:szCs w:val="21"/>
        </w:rPr>
        <w:t xml:space="preserve">Serviços </w:t>
      </w:r>
      <w:r>
        <w:rPr>
          <w:color w:val="000000"/>
          <w:sz w:val="21"/>
          <w:szCs w:val="21"/>
        </w:rPr>
        <w:t>(74 mil vagas).</w:t>
      </w:r>
    </w:p>
    <w:p w:rsidR="00BB2100" w:rsidRDefault="00C44087">
      <w:pPr>
        <w:pBdr>
          <w:top w:val="nil"/>
          <w:left w:val="nil"/>
          <w:bottom w:val="nil"/>
          <w:right w:val="nil"/>
          <w:between w:val="nil"/>
        </w:pBdr>
        <w:spacing w:before="237"/>
        <w:ind w:left="59" w:right="758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A remuneração média no momento da contratação registrou </w:t>
      </w:r>
      <w:r>
        <w:rPr>
          <w:b/>
          <w:bCs/>
          <w:color w:val="000000"/>
          <w:sz w:val="21"/>
          <w:szCs w:val="21"/>
        </w:rPr>
        <w:t>alta de 0,7%</w:t>
      </w:r>
      <w:r>
        <w:rPr>
          <w:color w:val="000000"/>
          <w:sz w:val="21"/>
          <w:szCs w:val="21"/>
        </w:rPr>
        <w:t>, subindo de R$ 2.387,44 para R$ 2.404,34.</w:t>
      </w:r>
    </w:p>
    <w:p w:rsidR="00BB2100" w:rsidRDefault="00C44087">
      <w:pPr>
        <w:pBdr>
          <w:top w:val="nil"/>
          <w:left w:val="nil"/>
          <w:bottom w:val="nil"/>
          <w:right w:val="nil"/>
          <w:between w:val="nil"/>
        </w:pBdr>
        <w:spacing w:before="46"/>
        <w:rPr>
          <w:color w:val="000000"/>
          <w:sz w:val="20"/>
          <w:szCs w:val="20"/>
        </w:rPr>
      </w:pPr>
      <w:r>
        <w:rPr>
          <w:noProof/>
        </w:rPr>
        <w:drawing>
          <wp:anchor distT="0" distB="0" distL="0" distR="0" simplePos="0" relativeHeight="251660288" behindDoc="0" locked="0" layoutInCell="1" hidden="0" allowOverlap="1">
            <wp:simplePos x="0" y="0"/>
            <wp:positionH relativeFrom="column">
              <wp:posOffset>47625</wp:posOffset>
            </wp:positionH>
            <wp:positionV relativeFrom="paragraph">
              <wp:posOffset>190893</wp:posOffset>
            </wp:positionV>
            <wp:extent cx="5292189" cy="1907095"/>
            <wp:effectExtent l="0" t="0" r="0" b="0"/>
            <wp:wrapTopAndBottom distT="0" dist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2189" cy="19070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1"/>
          <w:szCs w:val="21"/>
        </w:rPr>
      </w:pPr>
    </w:p>
    <w:p w:rsidR="00BB2100" w:rsidRDefault="00C44087">
      <w:pPr>
        <w:ind w:left="59" w:right="755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Foram realizadas </w:t>
      </w:r>
      <w:r>
        <w:rPr>
          <w:b/>
          <w:bCs/>
          <w:sz w:val="21"/>
          <w:szCs w:val="21"/>
        </w:rPr>
        <w:t xml:space="preserve">2,2 milhões de contratações </w:t>
      </w:r>
      <w:r>
        <w:rPr>
          <w:sz w:val="21"/>
          <w:szCs w:val="21"/>
        </w:rPr>
        <w:t xml:space="preserve">em junho de 2026. Em relação aos desligamentos, foram registrados um total de </w:t>
      </w:r>
      <w:r>
        <w:rPr>
          <w:b/>
          <w:bCs/>
          <w:sz w:val="21"/>
          <w:szCs w:val="21"/>
        </w:rPr>
        <w:t>2,07 milhões de casos</w:t>
      </w:r>
      <w:r>
        <w:rPr>
          <w:sz w:val="21"/>
          <w:szCs w:val="21"/>
        </w:rPr>
        <w:t>.</w:t>
      </w: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spacing w:before="56"/>
        <w:rPr>
          <w:color w:val="000000"/>
          <w:sz w:val="21"/>
          <w:szCs w:val="21"/>
        </w:rPr>
      </w:pPr>
    </w:p>
    <w:p w:rsidR="00BB2100" w:rsidRDefault="00C44087">
      <w:pPr>
        <w:ind w:left="59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 mês de </w:t>
      </w:r>
      <w:r>
        <w:rPr>
          <w:b/>
          <w:bCs/>
          <w:sz w:val="21"/>
          <w:szCs w:val="21"/>
        </w:rPr>
        <w:t xml:space="preserve">junho de 2026 </w:t>
      </w:r>
      <w:r>
        <w:rPr>
          <w:sz w:val="21"/>
          <w:szCs w:val="21"/>
        </w:rPr>
        <w:t>merece alguns destaques:</w:t>
      </w: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spacing w:before="207"/>
        <w:rPr>
          <w:color w:val="000000"/>
          <w:sz w:val="21"/>
          <w:szCs w:val="21"/>
        </w:rPr>
      </w:pPr>
    </w:p>
    <w:p w:rsidR="00BB2100" w:rsidRDefault="00C440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ind w:left="659" w:right="749"/>
        <w:jc w:val="both"/>
        <w:rPr>
          <w:color w:val="000000"/>
        </w:rPr>
      </w:pPr>
      <w:r>
        <w:rPr>
          <w:color w:val="666666"/>
          <w:sz w:val="21"/>
          <w:szCs w:val="21"/>
        </w:rPr>
        <w:t xml:space="preserve">Os números do </w:t>
      </w:r>
      <w:r>
        <w:rPr>
          <w:b/>
          <w:bCs/>
          <w:color w:val="666666"/>
          <w:sz w:val="21"/>
          <w:szCs w:val="21"/>
        </w:rPr>
        <w:t xml:space="preserve">acumulado ano (921 mil </w:t>
      </w:r>
      <w:r>
        <w:rPr>
          <w:color w:val="666666"/>
          <w:sz w:val="21"/>
          <w:szCs w:val="21"/>
        </w:rPr>
        <w:t xml:space="preserve">novos empregos) registram </w:t>
      </w:r>
      <w:r>
        <w:rPr>
          <w:b/>
          <w:bCs/>
          <w:color w:val="666666"/>
          <w:sz w:val="21"/>
          <w:szCs w:val="21"/>
        </w:rPr>
        <w:t>queda de 25%</w:t>
      </w:r>
      <w:r>
        <w:rPr>
          <w:color w:val="666666"/>
          <w:sz w:val="21"/>
          <w:szCs w:val="21"/>
        </w:rPr>
        <w:t>, na comparação com 2025. Esse também é o pior acumulado para o período desde 2020.</w:t>
      </w: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1"/>
          <w:szCs w:val="21"/>
        </w:rPr>
      </w:pP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spacing w:before="172"/>
        <w:rPr>
          <w:color w:val="000000"/>
          <w:sz w:val="21"/>
          <w:szCs w:val="21"/>
        </w:rPr>
      </w:pPr>
    </w:p>
    <w:p w:rsidR="00BB2100" w:rsidRDefault="00C440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ind w:left="659" w:right="849"/>
        <w:jc w:val="both"/>
        <w:rPr>
          <w:color w:val="000000"/>
        </w:rPr>
      </w:pPr>
      <w:r>
        <w:rPr>
          <w:color w:val="666666"/>
          <w:sz w:val="21"/>
          <w:szCs w:val="21"/>
        </w:rPr>
        <w:t xml:space="preserve">As </w:t>
      </w:r>
      <w:r>
        <w:rPr>
          <w:b/>
          <w:bCs/>
          <w:color w:val="666666"/>
          <w:sz w:val="21"/>
          <w:szCs w:val="21"/>
        </w:rPr>
        <w:t xml:space="preserve">cinco regiões </w:t>
      </w:r>
      <w:r>
        <w:rPr>
          <w:color w:val="666666"/>
          <w:sz w:val="21"/>
          <w:szCs w:val="21"/>
        </w:rPr>
        <w:t xml:space="preserve">do país registraram saldo positivo de vagas. O mesmo vale para os </w:t>
      </w:r>
      <w:r>
        <w:rPr>
          <w:b/>
          <w:bCs/>
          <w:color w:val="666666"/>
          <w:sz w:val="21"/>
          <w:szCs w:val="21"/>
        </w:rPr>
        <w:t>cinco setores da economia</w:t>
      </w:r>
      <w:r>
        <w:rPr>
          <w:color w:val="666666"/>
          <w:sz w:val="21"/>
          <w:szCs w:val="21"/>
        </w:rPr>
        <w:t>.</w:t>
      </w: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1"/>
          <w:szCs w:val="21"/>
        </w:rPr>
      </w:pP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spacing w:before="13"/>
        <w:rPr>
          <w:color w:val="000000"/>
          <w:sz w:val="21"/>
          <w:szCs w:val="21"/>
        </w:rPr>
      </w:pPr>
    </w:p>
    <w:p w:rsidR="00BB2100" w:rsidRDefault="00C44087">
      <w:pPr>
        <w:pStyle w:val="Ttulo1"/>
        <w:ind w:firstLine="59"/>
      </w:pPr>
      <w:r>
        <w:rPr>
          <w:color w:val="000080"/>
        </w:rPr>
        <w:t>Desemprego cai e fica abaixo de 5,5%</w:t>
      </w:r>
    </w:p>
    <w:p w:rsidR="00BB2100" w:rsidRDefault="00C44087">
      <w:pPr>
        <w:pBdr>
          <w:top w:val="nil"/>
          <w:left w:val="nil"/>
          <w:bottom w:val="nil"/>
          <w:right w:val="nil"/>
          <w:between w:val="nil"/>
        </w:pBdr>
        <w:spacing w:before="256"/>
        <w:ind w:left="59" w:right="754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A taxa de desemprego teve queda, chegando a 5,4% no trimestre móvel encerrado em junho (abril/26 a junho/26), quando comparada ao trimestre anterior (6,1%). Essa é a terceira queda consecutiva.</w:t>
      </w: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spacing w:before="204"/>
        <w:rPr>
          <w:color w:val="000000"/>
          <w:sz w:val="21"/>
          <w:szCs w:val="21"/>
        </w:rPr>
      </w:pPr>
    </w:p>
    <w:p w:rsidR="00BB2100" w:rsidRDefault="00C440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ind w:left="659" w:right="754"/>
        <w:jc w:val="both"/>
        <w:rPr>
          <w:color w:val="000000"/>
        </w:rPr>
      </w:pPr>
      <w:r>
        <w:rPr>
          <w:color w:val="000000"/>
          <w:sz w:val="21"/>
          <w:szCs w:val="21"/>
        </w:rPr>
        <w:t xml:space="preserve">Os </w:t>
      </w:r>
      <w:r>
        <w:rPr>
          <w:b/>
          <w:bCs/>
          <w:color w:val="000000"/>
          <w:sz w:val="21"/>
          <w:szCs w:val="21"/>
        </w:rPr>
        <w:t xml:space="preserve">5,9 milhões de desempregados </w:t>
      </w:r>
      <w:r>
        <w:rPr>
          <w:color w:val="000000"/>
          <w:sz w:val="21"/>
          <w:szCs w:val="21"/>
        </w:rPr>
        <w:t xml:space="preserve">representam uma </w:t>
      </w:r>
      <w:r>
        <w:rPr>
          <w:b/>
          <w:bCs/>
          <w:color w:val="000000"/>
          <w:sz w:val="21"/>
          <w:szCs w:val="21"/>
        </w:rPr>
        <w:t>queda de 10,9</w:t>
      </w:r>
      <w:r>
        <w:rPr>
          <w:b/>
          <w:bCs/>
          <w:color w:val="000000"/>
          <w:sz w:val="21"/>
          <w:szCs w:val="21"/>
        </w:rPr>
        <w:t xml:space="preserve">% </w:t>
      </w:r>
      <w:r>
        <w:rPr>
          <w:color w:val="000000"/>
          <w:sz w:val="21"/>
          <w:szCs w:val="21"/>
        </w:rPr>
        <w:t xml:space="preserve">em relação ao trimestre encerrado em março. Em relação ao mesmo período do ano passado a </w:t>
      </w:r>
      <w:r>
        <w:rPr>
          <w:b/>
          <w:bCs/>
          <w:color w:val="000000"/>
          <w:sz w:val="21"/>
          <w:szCs w:val="21"/>
        </w:rPr>
        <w:t>queda foi de 6,3%</w:t>
      </w:r>
      <w:r>
        <w:rPr>
          <w:color w:val="000000"/>
          <w:sz w:val="21"/>
          <w:szCs w:val="21"/>
        </w:rPr>
        <w:t>.</w:t>
      </w: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1"/>
          <w:szCs w:val="21"/>
        </w:rPr>
      </w:pP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spacing w:before="172"/>
        <w:rPr>
          <w:color w:val="000000"/>
          <w:sz w:val="21"/>
          <w:szCs w:val="21"/>
        </w:rPr>
      </w:pPr>
    </w:p>
    <w:p w:rsidR="00BB2100" w:rsidRDefault="00C440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ind w:left="659" w:right="749"/>
        <w:jc w:val="both"/>
        <w:rPr>
          <w:color w:val="000000"/>
        </w:rPr>
        <w:sectPr w:rsidR="00BB2100">
          <w:pgSz w:w="11920" w:h="16860"/>
          <w:pgMar w:top="480" w:right="992" w:bottom="440" w:left="1700" w:header="298" w:footer="248" w:gutter="0"/>
          <w:cols w:space="720"/>
        </w:sectPr>
      </w:pPr>
      <w:r>
        <w:rPr>
          <w:color w:val="666666"/>
          <w:sz w:val="21"/>
          <w:szCs w:val="21"/>
        </w:rPr>
        <w:t xml:space="preserve">O total de </w:t>
      </w:r>
      <w:r>
        <w:rPr>
          <w:b/>
          <w:bCs/>
          <w:color w:val="666666"/>
          <w:sz w:val="21"/>
          <w:szCs w:val="21"/>
        </w:rPr>
        <w:t>pessoas ocupadas somou 103,1 milhões</w:t>
      </w:r>
      <w:r>
        <w:rPr>
          <w:color w:val="666666"/>
          <w:sz w:val="21"/>
          <w:szCs w:val="21"/>
        </w:rPr>
        <w:t xml:space="preserve">, um </w:t>
      </w:r>
      <w:r>
        <w:rPr>
          <w:b/>
          <w:bCs/>
          <w:color w:val="666666"/>
          <w:sz w:val="21"/>
          <w:szCs w:val="21"/>
        </w:rPr>
        <w:t xml:space="preserve">crescimento de 1,1% </w:t>
      </w:r>
      <w:r>
        <w:rPr>
          <w:color w:val="666666"/>
          <w:sz w:val="21"/>
          <w:szCs w:val="21"/>
        </w:rPr>
        <w:t xml:space="preserve">em relação ao trimestre anterior e </w:t>
      </w:r>
      <w:r>
        <w:rPr>
          <w:b/>
          <w:bCs/>
          <w:color w:val="666666"/>
          <w:sz w:val="21"/>
          <w:szCs w:val="21"/>
        </w:rPr>
        <w:t xml:space="preserve">alta de 0,7% </w:t>
      </w:r>
      <w:r>
        <w:rPr>
          <w:color w:val="666666"/>
          <w:sz w:val="21"/>
          <w:szCs w:val="21"/>
        </w:rPr>
        <w:t>com relação ao mesmo período do ano passado.</w:t>
      </w:r>
    </w:p>
    <w:p w:rsidR="00BB2100" w:rsidRDefault="00C440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spacing w:before="64"/>
        <w:ind w:left="659" w:right="1398"/>
        <w:rPr>
          <w:color w:val="000000"/>
        </w:rPr>
      </w:pPr>
      <w:r>
        <w:rPr>
          <w:color w:val="666666"/>
          <w:sz w:val="21"/>
          <w:szCs w:val="21"/>
        </w:rPr>
        <w:lastRenderedPageBreak/>
        <w:t xml:space="preserve">O </w:t>
      </w:r>
      <w:r>
        <w:rPr>
          <w:b/>
          <w:bCs/>
          <w:color w:val="666666"/>
          <w:sz w:val="21"/>
          <w:szCs w:val="21"/>
        </w:rPr>
        <w:t>nível de ocupação ficou em 58,8%</w:t>
      </w:r>
      <w:r>
        <w:rPr>
          <w:color w:val="666666"/>
          <w:sz w:val="21"/>
          <w:szCs w:val="21"/>
        </w:rPr>
        <w:t>, alta de 0,5% em relação ao trimestre anterior.</w:t>
      </w: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1"/>
          <w:szCs w:val="21"/>
        </w:rPr>
      </w:pP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spacing w:before="174"/>
        <w:rPr>
          <w:color w:val="000000"/>
          <w:sz w:val="21"/>
          <w:szCs w:val="21"/>
        </w:rPr>
      </w:pPr>
    </w:p>
    <w:p w:rsidR="00BB2100" w:rsidRDefault="00C440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ind w:left="659" w:right="1106"/>
        <w:rPr>
          <w:color w:val="000000"/>
        </w:rPr>
      </w:pPr>
      <w:r>
        <w:rPr>
          <w:color w:val="666666"/>
          <w:sz w:val="21"/>
          <w:szCs w:val="21"/>
        </w:rPr>
        <w:t xml:space="preserve">A </w:t>
      </w:r>
      <w:r>
        <w:rPr>
          <w:b/>
          <w:bCs/>
          <w:color w:val="666666"/>
          <w:sz w:val="21"/>
          <w:szCs w:val="21"/>
        </w:rPr>
        <w:t xml:space="preserve">taxa composta de subutilização ficou em 12,9% </w:t>
      </w:r>
      <w:r>
        <w:rPr>
          <w:color w:val="666666"/>
          <w:sz w:val="21"/>
          <w:szCs w:val="21"/>
        </w:rPr>
        <w:t>no trimestre encerrado em junho. Totalizando 14,7 milhões de pessoas estavam nessa condição.</w:t>
      </w: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2100" w:rsidRDefault="00C44087">
      <w:pPr>
        <w:pBdr>
          <w:top w:val="nil"/>
          <w:left w:val="nil"/>
          <w:bottom w:val="nil"/>
          <w:right w:val="nil"/>
          <w:between w:val="nil"/>
        </w:pBdr>
        <w:spacing w:before="31"/>
        <w:rPr>
          <w:color w:val="000000"/>
          <w:sz w:val="20"/>
          <w:szCs w:val="20"/>
        </w:rPr>
      </w:pPr>
      <w:r>
        <w:rPr>
          <w:noProof/>
        </w:rPr>
        <w:drawing>
          <wp:anchor distT="0" distB="0" distL="0" distR="0" simplePos="0" relativeHeight="251661312" behindDoc="0" locked="0" layoutInCell="1" hidden="0" allowOverlap="1">
            <wp:simplePos x="0" y="0"/>
            <wp:positionH relativeFrom="column">
              <wp:posOffset>47625</wp:posOffset>
            </wp:positionH>
            <wp:positionV relativeFrom="paragraph">
              <wp:posOffset>181369</wp:posOffset>
            </wp:positionV>
            <wp:extent cx="5054346" cy="1825180"/>
            <wp:effectExtent l="0" t="0" r="0" b="0"/>
            <wp:wrapTopAndBottom distT="0" dist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4346" cy="1825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spacing w:before="65"/>
        <w:rPr>
          <w:color w:val="000000"/>
          <w:sz w:val="21"/>
          <w:szCs w:val="21"/>
        </w:rPr>
      </w:pPr>
    </w:p>
    <w:p w:rsidR="00BB2100" w:rsidRDefault="00C44087">
      <w:pPr>
        <w:ind w:left="59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Fonte: </w:t>
      </w:r>
      <w:r>
        <w:rPr>
          <w:sz w:val="18"/>
          <w:szCs w:val="18"/>
        </w:rPr>
        <w:t>IBGE. Pesquisa Nacional por Amostra de Domicílios Contínua – PNAD Contínua.</w:t>
      </w: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2100" w:rsidRDefault="00C44087">
      <w:pPr>
        <w:pBdr>
          <w:top w:val="nil"/>
          <w:left w:val="nil"/>
          <w:bottom w:val="nil"/>
          <w:right w:val="nil"/>
          <w:between w:val="nil"/>
        </w:pBdr>
        <w:spacing w:before="31"/>
        <w:rPr>
          <w:color w:val="000000"/>
          <w:sz w:val="20"/>
          <w:szCs w:val="20"/>
        </w:rPr>
      </w:pPr>
      <w:r>
        <w:rPr>
          <w:noProof/>
        </w:rPr>
        <w:drawing>
          <wp:anchor distT="0" distB="0" distL="0" distR="0" simplePos="0" relativeHeight="251662336" behindDoc="0" locked="0" layoutInCell="1" hidden="0" allowOverlap="1">
            <wp:simplePos x="0" y="0"/>
            <wp:positionH relativeFrom="column">
              <wp:posOffset>171450</wp:posOffset>
            </wp:positionH>
            <wp:positionV relativeFrom="paragraph">
              <wp:posOffset>181419</wp:posOffset>
            </wp:positionV>
            <wp:extent cx="5086350" cy="485775"/>
            <wp:effectExtent l="0" t="0" r="0" b="0"/>
            <wp:wrapTopAndBottom distT="0" distB="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485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B2100" w:rsidRDefault="00BB2100">
      <w:pPr>
        <w:pBdr>
          <w:top w:val="nil"/>
          <w:left w:val="nil"/>
          <w:bottom w:val="nil"/>
          <w:right w:val="nil"/>
          <w:between w:val="nil"/>
        </w:pBdr>
        <w:spacing w:before="15"/>
        <w:rPr>
          <w:color w:val="000000"/>
          <w:sz w:val="18"/>
          <w:szCs w:val="18"/>
        </w:rPr>
      </w:pPr>
    </w:p>
    <w:p w:rsidR="00BB2100" w:rsidRDefault="00C44087">
      <w:pPr>
        <w:ind w:left="2471"/>
        <w:rPr>
          <w:sz w:val="15"/>
          <w:szCs w:val="15"/>
        </w:rPr>
      </w:pPr>
      <w:proofErr w:type="spellStart"/>
      <w:r>
        <w:rPr>
          <w:color w:val="0000EC"/>
          <w:sz w:val="15"/>
          <w:szCs w:val="15"/>
        </w:rPr>
        <w:t>Descadastre-se</w:t>
      </w:r>
      <w:proofErr w:type="spellEnd"/>
      <w:r>
        <w:rPr>
          <w:color w:val="0000EC"/>
          <w:sz w:val="15"/>
          <w:szCs w:val="15"/>
        </w:rPr>
        <w:t xml:space="preserve"> </w:t>
      </w:r>
      <w:r>
        <w:rPr>
          <w:sz w:val="15"/>
          <w:szCs w:val="15"/>
        </w:rPr>
        <w:t>caso não queira receber mais e-mails</w:t>
      </w:r>
    </w:p>
    <w:sectPr w:rsidR="00BB2100">
      <w:pgSz w:w="11920" w:h="16860"/>
      <w:pgMar w:top="480" w:right="992" w:bottom="440" w:left="1700" w:header="298" w:footer="2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087" w:rsidRDefault="00C44087">
      <w:r>
        <w:separator/>
      </w:r>
    </w:p>
  </w:endnote>
  <w:endnote w:type="continuationSeparator" w:id="0">
    <w:p w:rsidR="00C44087" w:rsidRDefault="00C44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6082803-A136-4FEC-8392-436E84E67FC8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22E8FE78-4C1F-4B48-A98F-AAF41512A697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3" w:fontKey="{5E11C694-7A44-4631-9ADF-3CBB963DD597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100" w:rsidRDefault="00C4408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60288" behindDoc="1" locked="0" layoutInCell="1" hidden="0" allowOverlap="1">
          <wp:simplePos x="0" y="0"/>
          <wp:positionH relativeFrom="column">
            <wp:posOffset>-776925</wp:posOffset>
          </wp:positionH>
          <wp:positionV relativeFrom="paragraph">
            <wp:posOffset>0</wp:posOffset>
          </wp:positionV>
          <wp:extent cx="3079936" cy="10452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79936" cy="104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>
          <wp:simplePos x="0" y="0"/>
          <wp:positionH relativeFrom="column">
            <wp:posOffset>6042294</wp:posOffset>
          </wp:positionH>
          <wp:positionV relativeFrom="paragraph">
            <wp:posOffset>0</wp:posOffset>
          </wp:positionV>
          <wp:extent cx="130056" cy="82344"/>
          <wp:effectExtent l="0" t="0" r="0" b="0"/>
          <wp:wrapNone/>
          <wp:docPr id="10" name="image1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056" cy="823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087" w:rsidRDefault="00C44087">
      <w:r>
        <w:separator/>
      </w:r>
    </w:p>
  </w:footnote>
  <w:footnote w:type="continuationSeparator" w:id="0">
    <w:p w:rsidR="00C44087" w:rsidRDefault="00C44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100" w:rsidRDefault="00C4408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304482</wp:posOffset>
          </wp:positionH>
          <wp:positionV relativeFrom="page">
            <wp:posOffset>211950</wp:posOffset>
          </wp:positionV>
          <wp:extent cx="707531" cy="96856"/>
          <wp:effectExtent l="0" t="0" r="0" b="0"/>
          <wp:wrapNone/>
          <wp:docPr id="9" name="image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7531" cy="968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2998273</wp:posOffset>
          </wp:positionH>
          <wp:positionV relativeFrom="page">
            <wp:posOffset>211950</wp:posOffset>
          </wp:positionV>
          <wp:extent cx="2656053" cy="104520"/>
          <wp:effectExtent l="0" t="0" r="0" b="0"/>
          <wp:wrapNone/>
          <wp:docPr id="7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56053" cy="104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04777"/>
    <w:multiLevelType w:val="multilevel"/>
    <w:tmpl w:val="DE8EA128"/>
    <w:lvl w:ilvl="0">
      <w:numFmt w:val="bullet"/>
      <w:lvlText w:val="-"/>
      <w:lvlJc w:val="left"/>
      <w:pPr>
        <w:ind w:left="60" w:hanging="720"/>
      </w:pPr>
      <w:rPr>
        <w:rFonts w:ascii="Arial" w:eastAsia="Arial" w:hAnsi="Arial" w:cs="Arial"/>
        <w:b w:val="0"/>
        <w:bCs w:val="0"/>
        <w:i w:val="0"/>
        <w:iCs w:val="0"/>
        <w:sz w:val="21"/>
        <w:szCs w:val="21"/>
      </w:rPr>
    </w:lvl>
    <w:lvl w:ilvl="1">
      <w:numFmt w:val="bullet"/>
      <w:lvlText w:val="●"/>
      <w:lvlJc w:val="left"/>
      <w:pPr>
        <w:ind w:left="660" w:hanging="210"/>
      </w:pPr>
      <w:rPr>
        <w:rFonts w:ascii="Arial" w:eastAsia="Arial" w:hAnsi="Arial" w:cs="Arial"/>
        <w:b w:val="0"/>
        <w:bCs w:val="0"/>
        <w:i w:val="0"/>
        <w:iCs w:val="0"/>
        <w:sz w:val="10"/>
        <w:szCs w:val="10"/>
      </w:rPr>
    </w:lvl>
    <w:lvl w:ilvl="2">
      <w:numFmt w:val="bullet"/>
      <w:lvlText w:val="•"/>
      <w:lvlJc w:val="left"/>
      <w:pPr>
        <w:ind w:left="1611" w:hanging="210"/>
      </w:pPr>
    </w:lvl>
    <w:lvl w:ilvl="3">
      <w:numFmt w:val="bullet"/>
      <w:lvlText w:val="•"/>
      <w:lvlJc w:val="left"/>
      <w:pPr>
        <w:ind w:left="2563" w:hanging="210"/>
      </w:pPr>
    </w:lvl>
    <w:lvl w:ilvl="4">
      <w:numFmt w:val="bullet"/>
      <w:lvlText w:val="•"/>
      <w:lvlJc w:val="left"/>
      <w:pPr>
        <w:ind w:left="3515" w:hanging="210"/>
      </w:pPr>
    </w:lvl>
    <w:lvl w:ilvl="5">
      <w:numFmt w:val="bullet"/>
      <w:lvlText w:val="•"/>
      <w:lvlJc w:val="left"/>
      <w:pPr>
        <w:ind w:left="4467" w:hanging="210"/>
      </w:pPr>
    </w:lvl>
    <w:lvl w:ilvl="6">
      <w:numFmt w:val="bullet"/>
      <w:lvlText w:val="•"/>
      <w:lvlJc w:val="left"/>
      <w:pPr>
        <w:ind w:left="5419" w:hanging="210"/>
      </w:pPr>
    </w:lvl>
    <w:lvl w:ilvl="7">
      <w:numFmt w:val="bullet"/>
      <w:lvlText w:val="•"/>
      <w:lvlJc w:val="left"/>
      <w:pPr>
        <w:ind w:left="6370" w:hanging="210"/>
      </w:pPr>
    </w:lvl>
    <w:lvl w:ilvl="8">
      <w:numFmt w:val="bullet"/>
      <w:lvlText w:val="•"/>
      <w:lvlJc w:val="left"/>
      <w:pPr>
        <w:ind w:left="7322" w:hanging="21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100"/>
    <w:rsid w:val="001E7ED1"/>
    <w:rsid w:val="00307D5B"/>
    <w:rsid w:val="006737A1"/>
    <w:rsid w:val="00BB2100"/>
    <w:rsid w:val="00C4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68745"/>
  <w15:docId w15:val="{19C495B4-3C5D-4776-ABDA-F88056DA2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59"/>
      <w:jc w:val="both"/>
      <w:outlineLvl w:val="0"/>
    </w:pPr>
    <w:rPr>
      <w:b/>
      <w:bCs/>
      <w:sz w:val="27"/>
      <w:szCs w:val="27"/>
    </w:rPr>
  </w:style>
  <w:style w:type="paragraph" w:styleId="Ttulo2">
    <w:name w:val="heading 2"/>
    <w:basedOn w:val="Normal"/>
    <w:next w:val="Normal"/>
    <w:pPr>
      <w:spacing w:before="237"/>
      <w:ind w:left="193" w:hanging="134"/>
      <w:jc w:val="both"/>
      <w:outlineLvl w:val="1"/>
    </w:pPr>
    <w:rPr>
      <w:b/>
      <w:bCs/>
      <w:sz w:val="21"/>
      <w:szCs w:val="21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476DC-4BD4-4912-92BD-D00883D23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691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Ludimila Rodrigues</cp:lastModifiedBy>
  <cp:revision>3</cp:revision>
  <dcterms:created xsi:type="dcterms:W3CDTF">2026-08-04T15:20:00Z</dcterms:created>
  <dcterms:modified xsi:type="dcterms:W3CDTF">2026-08-04T17:44:00Z</dcterms:modified>
</cp:coreProperties>
</file>